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after="0" w:line="570" w:lineRule="exact"/>
        <w:jc w:val="both"/>
        <w:outlineLvl w:val="9"/>
        <w:rPr>
          <w:rFonts w:ascii="黑体" w:hAnsi="黑体" w:eastAsia="PMingLiU"/>
          <w:color w:val="auto"/>
          <w:sz w:val="32"/>
        </w:rPr>
      </w:pPr>
      <w:bookmarkStart w:id="3" w:name="_GoBack"/>
      <w:bookmarkEnd w:id="3"/>
      <w:bookmarkStart w:id="0" w:name="bookmark28"/>
      <w:bookmarkStart w:id="1" w:name="bookmark27"/>
      <w:bookmarkStart w:id="2" w:name="bookmark26"/>
      <w:r>
        <w:rPr>
          <w:rFonts w:hint="eastAsia" w:ascii="黑体" w:hAnsi="黑体" w:eastAsia="黑体"/>
          <w:color w:val="auto"/>
          <w:sz w:val="32"/>
        </w:rPr>
        <w:t>附件</w:t>
      </w:r>
    </w:p>
    <w:p>
      <w:pPr>
        <w:pStyle w:val="7"/>
        <w:keepNext/>
        <w:keepLines/>
        <w:spacing w:after="0" w:line="640" w:lineRule="exact"/>
        <w:outlineLvl w:val="0"/>
        <w:rPr>
          <w:rFonts w:ascii="Times New Roman" w:hAnsi="黑体" w:eastAsia="方正小标宋简体"/>
          <w:color w:val="auto"/>
          <w:sz w:val="44"/>
        </w:rPr>
      </w:pPr>
    </w:p>
    <w:p>
      <w:pPr>
        <w:pStyle w:val="7"/>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sz w:val="44"/>
          <w:szCs w:val="44"/>
        </w:rPr>
        <w:t>十六</w:t>
      </w:r>
      <w:r>
        <w:rPr>
          <w:rFonts w:ascii="Times New Roman" w:eastAsia="方正小标宋简体"/>
          <w:color w:val="39413F"/>
          <w:sz w:val="44"/>
        </w:rPr>
        <w:t>项</w:t>
      </w:r>
    </w:p>
    <w:p>
      <w:pPr>
        <w:pStyle w:val="7"/>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7"/>
        <w:keepNext/>
        <w:keepLines/>
        <w:spacing w:after="0" w:line="640" w:lineRule="exact"/>
        <w:outlineLvl w:val="0"/>
        <w:rPr>
          <w:rFonts w:ascii="Times New Roman" w:eastAsia="方正小标宋简体"/>
          <w:sz w:val="44"/>
        </w:rPr>
      </w:pPr>
    </w:p>
    <w:tbl>
      <w:tblPr>
        <w:tblStyle w:val="5"/>
        <w:tblW w:w="9096" w:type="dxa"/>
        <w:jc w:val="center"/>
        <w:tblLayout w:type="fixed"/>
        <w:tblCellMar>
          <w:top w:w="0" w:type="dxa"/>
          <w:left w:w="10" w:type="dxa"/>
          <w:bottom w:w="0" w:type="dxa"/>
          <w:right w:w="10" w:type="dxa"/>
        </w:tblCellMar>
      </w:tblPr>
      <w:tblGrid>
        <w:gridCol w:w="2109"/>
        <w:gridCol w:w="6987"/>
      </w:tblGrid>
      <w:tr>
        <w:tblPrEx>
          <w:tblCellMar>
            <w:top w:w="0" w:type="dxa"/>
            <w:left w:w="10" w:type="dxa"/>
            <w:bottom w:w="0" w:type="dxa"/>
            <w:right w:w="10" w:type="dxa"/>
          </w:tblCellMar>
        </w:tblPrEx>
        <w:trPr>
          <w:trHeight w:val="2020" w:hRule="exact"/>
          <w:jc w:val="center"/>
        </w:trPr>
        <w:tc>
          <w:tcPr>
            <w:tcW w:w="2109"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整改任务</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58" w:leftChars="50" w:right="158" w:rightChars="50"/>
              <w:jc w:val="both"/>
              <w:rPr>
                <w:rFonts w:eastAsia="仿宋_GB2312"/>
                <w:szCs w:val="32"/>
                <w:lang w:eastAsia="zh-CN"/>
              </w:rPr>
            </w:pPr>
            <w:r>
              <w:rPr>
                <w:rFonts w:eastAsia="仿宋_GB2312"/>
                <w:szCs w:val="32"/>
                <w:lang w:eastAsia="zh-CN"/>
              </w:rPr>
              <w:t>第三轮省级生态环境保护督察第</w:t>
            </w:r>
            <w:r>
              <w:rPr>
                <w:rFonts w:hint="eastAsia" w:eastAsia="仿宋_GB2312"/>
                <w:szCs w:val="32"/>
                <w:lang w:val="en-US" w:eastAsia="zh-CN"/>
              </w:rPr>
              <w:t>十六</w:t>
            </w:r>
            <w:r>
              <w:rPr>
                <w:rFonts w:eastAsia="仿宋_GB2312"/>
                <w:szCs w:val="32"/>
                <w:lang w:eastAsia="zh-CN"/>
              </w:rPr>
              <w:t>项整改任务：</w:t>
            </w:r>
            <w:r>
              <w:rPr>
                <w:rFonts w:hint="default" w:ascii="Times New Roman" w:hAnsi="Times New Roman" w:eastAsia="仿宋_GB2312" w:cs="Times New Roman"/>
                <w:szCs w:val="32"/>
                <w:lang w:eastAsia="zh-CN"/>
              </w:rPr>
              <w:t>部分</w:t>
            </w:r>
            <w:r>
              <w:rPr>
                <w:rFonts w:hint="eastAsia" w:ascii="Times New Roman" w:hAnsi="Times New Roman" w:eastAsia="仿宋_GB2312" w:cs="Times New Roman"/>
                <w:szCs w:val="32"/>
                <w:lang w:val="en-US" w:eastAsia="zh-CN"/>
              </w:rPr>
              <w:t>在建项目工地扬尘管控不力，“六个百分百”落实不到位。</w:t>
            </w:r>
          </w:p>
        </w:tc>
      </w:tr>
      <w:tr>
        <w:tblPrEx>
          <w:tblCellMar>
            <w:top w:w="0" w:type="dxa"/>
            <w:left w:w="10" w:type="dxa"/>
            <w:bottom w:w="0" w:type="dxa"/>
            <w:right w:w="10" w:type="dxa"/>
          </w:tblCellMar>
        </w:tblPrEx>
        <w:trPr>
          <w:trHeight w:val="982" w:hRule="exact"/>
          <w:jc w:val="center"/>
        </w:trPr>
        <w:tc>
          <w:tcPr>
            <w:tcW w:w="2109"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整改责任单位</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58" w:leftChars="50" w:right="158" w:rightChars="50"/>
              <w:jc w:val="center"/>
              <w:rPr>
                <w:rFonts w:eastAsia="仿宋_GB2312"/>
                <w:szCs w:val="32"/>
                <w:lang w:eastAsia="zh-CN"/>
              </w:rPr>
            </w:pPr>
            <w:r>
              <w:rPr>
                <w:rFonts w:hint="eastAsia" w:eastAsia="仿宋_GB2312"/>
                <w:szCs w:val="32"/>
                <w:lang w:eastAsia="zh-CN"/>
              </w:rPr>
              <w:t>四川蜀道高速公路集团有限公司</w:t>
            </w:r>
          </w:p>
        </w:tc>
      </w:tr>
      <w:tr>
        <w:tblPrEx>
          <w:tblCellMar>
            <w:top w:w="0" w:type="dxa"/>
            <w:left w:w="10" w:type="dxa"/>
            <w:bottom w:w="0" w:type="dxa"/>
            <w:right w:w="10" w:type="dxa"/>
          </w:tblCellMar>
        </w:tblPrEx>
        <w:trPr>
          <w:trHeight w:val="1354" w:hRule="exact"/>
          <w:jc w:val="center"/>
        </w:trPr>
        <w:tc>
          <w:tcPr>
            <w:tcW w:w="2109" w:type="dxa"/>
            <w:tcBorders>
              <w:top w:val="single" w:color="auto" w:sz="4" w:space="0"/>
              <w:left w:val="single" w:color="auto" w:sz="4" w:space="0"/>
            </w:tcBorders>
            <w:shd w:val="clear" w:color="auto" w:fill="FFFFFF"/>
            <w:vAlign w:val="center"/>
          </w:tcPr>
          <w:p>
            <w:pPr>
              <w:pStyle w:val="10"/>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39413F"/>
              </w:rPr>
              <w:t>整改目标</w:t>
            </w:r>
          </w:p>
        </w:tc>
        <w:tc>
          <w:tcPr>
            <w:tcW w:w="6987" w:type="dxa"/>
            <w:tcBorders>
              <w:top w:val="single" w:color="auto" w:sz="4" w:space="0"/>
              <w:left w:val="single" w:color="auto" w:sz="4" w:space="0"/>
              <w:right w:val="single" w:color="auto" w:sz="4" w:space="0"/>
            </w:tcBorders>
            <w:shd w:val="clear" w:color="auto" w:fill="FFFFFF"/>
            <w:vAlign w:val="center"/>
          </w:tcPr>
          <w:p>
            <w:pPr>
              <w:spacing w:line="550" w:lineRule="exact"/>
              <w:ind w:left="158" w:leftChars="50" w:right="158" w:rightChars="50"/>
              <w:jc w:val="both"/>
              <w:rPr>
                <w:rFonts w:eastAsia="仿宋_GB2312"/>
                <w:szCs w:val="32"/>
                <w:lang w:eastAsia="zh-CN"/>
              </w:rPr>
            </w:pPr>
            <w:r>
              <w:rPr>
                <w:rFonts w:hint="eastAsia" w:eastAsia="仿宋_GB2312"/>
                <w:color w:val="auto"/>
                <w:szCs w:val="32"/>
                <w:lang w:eastAsia="zh-CN"/>
              </w:rPr>
              <w:t>落实在建项目扬尘治理措施，提升企业大气污染防治能力。</w:t>
            </w:r>
          </w:p>
        </w:tc>
      </w:tr>
      <w:tr>
        <w:tblPrEx>
          <w:tblCellMar>
            <w:top w:w="0" w:type="dxa"/>
            <w:left w:w="10" w:type="dxa"/>
            <w:bottom w:w="0" w:type="dxa"/>
            <w:right w:w="10" w:type="dxa"/>
          </w:tblCellMar>
        </w:tblPrEx>
        <w:trPr>
          <w:trHeight w:val="5041" w:hRule="atLeast"/>
          <w:jc w:val="center"/>
        </w:trPr>
        <w:tc>
          <w:tcPr>
            <w:tcW w:w="2109" w:type="dxa"/>
            <w:tcBorders>
              <w:top w:val="single" w:color="auto" w:sz="4" w:space="0"/>
              <w:left w:val="single" w:color="auto" w:sz="4" w:space="0"/>
              <w:bottom w:val="single" w:color="auto" w:sz="4" w:space="0"/>
            </w:tcBorders>
            <w:shd w:val="clear" w:color="auto" w:fill="FFFFFF"/>
            <w:vAlign w:val="center"/>
          </w:tcPr>
          <w:p>
            <w:pPr>
              <w:pStyle w:val="10"/>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1F2121"/>
              </w:rPr>
              <w:t>整改措施</w:t>
            </w:r>
          </w:p>
        </w:tc>
        <w:tc>
          <w:tcPr>
            <w:tcW w:w="6987" w:type="dxa"/>
            <w:tcBorders>
              <w:top w:val="single" w:color="auto" w:sz="4" w:space="0"/>
              <w:left w:val="single" w:color="auto" w:sz="4" w:space="0"/>
              <w:bottom w:val="single" w:color="auto" w:sz="4" w:space="0"/>
              <w:right w:val="single" w:color="auto" w:sz="4" w:space="0"/>
            </w:tcBorders>
            <w:shd w:val="clear" w:color="auto" w:fill="FFFFFF"/>
          </w:tcPr>
          <w:p>
            <w:pPr>
              <w:spacing w:beforeLines="30" w:line="570" w:lineRule="exact"/>
              <w:ind w:left="158" w:leftChars="50" w:right="158" w:rightChars="50" w:firstLine="632" w:firstLineChars="200"/>
              <w:rPr>
                <w:rFonts w:eastAsia="仿宋_GB2312"/>
                <w:color w:val="auto"/>
                <w:szCs w:val="32"/>
                <w:lang w:eastAsia="zh-CN"/>
              </w:rPr>
            </w:pPr>
            <w:r>
              <w:rPr>
                <w:rFonts w:eastAsia="仿宋_GB2312"/>
                <w:color w:val="auto"/>
                <w:szCs w:val="32"/>
                <w:lang w:eastAsia="zh-CN"/>
              </w:rPr>
              <w:t>1.</w:t>
            </w:r>
            <w:r>
              <w:rPr>
                <w:rFonts w:hint="eastAsia" w:eastAsia="仿宋_GB2312"/>
                <w:color w:val="auto"/>
                <w:szCs w:val="32"/>
                <w:lang w:eastAsia="zh-CN"/>
              </w:rPr>
              <w:t>实施工地扬尘整治，将施工工地大气污染防治工作纳入文明施工管理。</w:t>
            </w:r>
          </w:p>
          <w:p>
            <w:pPr>
              <w:spacing w:line="570" w:lineRule="exact"/>
              <w:ind w:left="158" w:leftChars="50" w:right="158" w:rightChars="50" w:firstLine="632" w:firstLineChars="200"/>
              <w:rPr>
                <w:rFonts w:eastAsia="仿宋_GB2312"/>
                <w:color w:val="auto"/>
                <w:szCs w:val="32"/>
                <w:lang w:eastAsia="zh-CN"/>
              </w:rPr>
            </w:pPr>
            <w:r>
              <w:rPr>
                <w:rFonts w:eastAsia="仿宋_GB2312"/>
                <w:color w:val="auto"/>
                <w:szCs w:val="32"/>
                <w:lang w:eastAsia="zh-CN"/>
              </w:rPr>
              <w:t>2.</w:t>
            </w:r>
            <w:r>
              <w:rPr>
                <w:rFonts w:hint="eastAsia" w:eastAsia="仿宋_GB2312"/>
                <w:color w:val="auto"/>
                <w:szCs w:val="32"/>
                <w:lang w:eastAsia="zh-CN"/>
              </w:rPr>
              <w:t>实现督导检查常态化，将扬尘防治工作纳入督导检查内容。</w:t>
            </w:r>
          </w:p>
        </w:tc>
      </w:tr>
      <w:tr>
        <w:tblPrEx>
          <w:tblCellMar>
            <w:top w:w="0" w:type="dxa"/>
            <w:left w:w="10" w:type="dxa"/>
            <w:bottom w:w="0" w:type="dxa"/>
            <w:right w:w="10" w:type="dxa"/>
          </w:tblCellMar>
        </w:tblPrEx>
        <w:trPr>
          <w:trHeight w:val="7361" w:hRule="atLeast"/>
          <w:jc w:val="center"/>
        </w:trPr>
        <w:tc>
          <w:tcPr>
            <w:tcW w:w="2109" w:type="dxa"/>
            <w:tcBorders>
              <w:top w:val="single" w:color="auto" w:sz="4" w:space="0"/>
              <w:left w:val="single" w:color="auto" w:sz="4" w:space="0"/>
              <w:bottom w:val="single" w:color="auto" w:sz="4" w:space="0"/>
            </w:tcBorders>
            <w:shd w:val="clear" w:color="auto" w:fill="FFFFFF"/>
            <w:vAlign w:val="center"/>
          </w:tcPr>
          <w:p>
            <w:pPr>
              <w:pStyle w:val="10"/>
              <w:spacing w:line="560" w:lineRule="exact"/>
              <w:ind w:firstLine="0"/>
              <w:jc w:val="center"/>
              <w:outlineLvl w:val="1"/>
              <w:rPr>
                <w:rFonts w:ascii="Times New Roman" w:hAnsi="Times New Roman" w:eastAsia="PMingLiU" w:cs="Times New Roman"/>
                <w:color w:val="1F2121"/>
              </w:rPr>
            </w:pPr>
            <w:r>
              <w:rPr>
                <w:rFonts w:ascii="Times New Roman" w:hAnsi="Times New Roman" w:eastAsia="黑体" w:cs="Times New Roman"/>
                <w:color w:val="1F2121"/>
              </w:rPr>
              <w:t>整改主要工作</w:t>
            </w:r>
          </w:p>
          <w:p>
            <w:pPr>
              <w:pStyle w:val="10"/>
              <w:spacing w:line="560" w:lineRule="exact"/>
              <w:ind w:firstLine="0"/>
              <w:jc w:val="center"/>
              <w:outlineLvl w:val="1"/>
              <w:rPr>
                <w:rFonts w:ascii="Times New Roman" w:hAnsi="Times New Roman" w:eastAsia="黑体" w:cs="Times New Roman"/>
              </w:rPr>
            </w:pPr>
            <w:r>
              <w:rPr>
                <w:rFonts w:ascii="Times New Roman" w:hAnsi="Times New Roman" w:eastAsia="黑体" w:cs="Times New Roman"/>
                <w:color w:val="1F2121"/>
              </w:rPr>
              <w:t>及成效</w:t>
            </w:r>
          </w:p>
        </w:tc>
        <w:tc>
          <w:tcPr>
            <w:tcW w:w="6987" w:type="dxa"/>
            <w:tcBorders>
              <w:top w:val="single" w:color="auto" w:sz="4" w:space="0"/>
              <w:left w:val="single" w:color="auto" w:sz="4" w:space="0"/>
              <w:bottom w:val="single" w:color="auto" w:sz="4" w:space="0"/>
              <w:right w:val="single" w:color="auto" w:sz="4" w:space="0"/>
            </w:tcBorders>
            <w:shd w:val="clear" w:color="auto" w:fill="FFFFFF"/>
          </w:tcPr>
          <w:p>
            <w:pPr>
              <w:spacing w:beforeLines="50" w:line="550" w:lineRule="exact"/>
              <w:ind w:left="158" w:leftChars="50" w:right="158" w:rightChars="50" w:firstLine="632" w:firstLineChars="200"/>
              <w:jc w:val="both"/>
              <w:rPr>
                <w:rFonts w:eastAsia="仿宋_GB2312"/>
                <w:szCs w:val="32"/>
                <w:lang w:eastAsia="zh-CN"/>
              </w:rPr>
            </w:pPr>
            <w:r>
              <w:rPr>
                <w:rFonts w:eastAsia="仿宋_GB2312"/>
                <w:szCs w:val="32"/>
                <w:lang w:eastAsia="zh-CN"/>
              </w:rPr>
              <w:t>1.</w:t>
            </w:r>
            <w:r>
              <w:rPr>
                <w:rFonts w:hint="eastAsia" w:eastAsia="仿宋_GB2312"/>
                <w:szCs w:val="32"/>
                <w:lang w:eastAsia="zh-CN"/>
              </w:rPr>
              <w:t>有关项目公司已针对工地扬尘问题按照扬尘整治要求进行了及时整改，并形成相应整改记录，同时已在项目公司安全环保制度汇编中分列出大气污染防治工作具体细则。</w:t>
            </w:r>
          </w:p>
          <w:p>
            <w:pPr>
              <w:spacing w:line="550" w:lineRule="exact"/>
              <w:ind w:left="158" w:leftChars="50" w:right="158" w:rightChars="50" w:firstLine="632" w:firstLineChars="200"/>
              <w:jc w:val="both"/>
              <w:rPr>
                <w:rFonts w:eastAsia="仿宋_GB2312"/>
                <w:szCs w:val="32"/>
                <w:lang w:eastAsia="zh-CN"/>
              </w:rPr>
            </w:pPr>
            <w:r>
              <w:rPr>
                <w:rFonts w:eastAsia="仿宋_GB2312"/>
                <w:szCs w:val="32"/>
                <w:lang w:eastAsia="zh-CN"/>
              </w:rPr>
              <w:t>2.</w:t>
            </w:r>
            <w:r>
              <w:rPr>
                <w:rFonts w:hint="eastAsia" w:eastAsia="仿宋_GB2312"/>
                <w:szCs w:val="32"/>
                <w:lang w:eastAsia="zh-CN"/>
              </w:rPr>
              <w:t>蜀道高速集团在日常专项督查中对建设项目施工生产场地扬尘防治工作进行了督导检查，对“六个百分百”措施落实不到位的项目标段下发了隐患整改通知单，并督促其整改完成。</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67D42F-BB34-4374-A04E-01F7962F8C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21547FE7-7605-4785-A0EA-293A6B84E9AE}"/>
  </w:font>
  <w:font w:name="PMingLiU">
    <w:altName w:val="Microsoft JhengHei UI"/>
    <w:panose1 w:val="02010601000101010101"/>
    <w:charset w:val="88"/>
    <w:family w:val="auto"/>
    <w:pitch w:val="default"/>
    <w:sig w:usb0="00000000" w:usb1="00000000" w:usb2="00000010" w:usb3="00000000" w:csb0="00100000" w:csb1="00000000"/>
    <w:embedRegular r:id="rId3" w:fontKey="{0071ADF0-E20E-4285-8EF6-5E369192F123}"/>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66626752-6AC2-496E-99C8-3A3D55F85AEA}"/>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YWU3ZGM5MGQxNjM0OTJmNGU0MWQ5NTUzYmEwNDQifQ=="/>
  </w:docVars>
  <w:rsids>
    <w:rsidRoot w:val="4B3854E4"/>
    <w:rsid w:val="001C783A"/>
    <w:rsid w:val="002033E3"/>
    <w:rsid w:val="0027260D"/>
    <w:rsid w:val="003F684F"/>
    <w:rsid w:val="004377FC"/>
    <w:rsid w:val="0044734B"/>
    <w:rsid w:val="00507CE3"/>
    <w:rsid w:val="005B30B9"/>
    <w:rsid w:val="0077298D"/>
    <w:rsid w:val="008063D1"/>
    <w:rsid w:val="009671C5"/>
    <w:rsid w:val="00A40B47"/>
    <w:rsid w:val="00A661D9"/>
    <w:rsid w:val="00A90DEB"/>
    <w:rsid w:val="00CE7C35"/>
    <w:rsid w:val="00D83E41"/>
    <w:rsid w:val="00DE6D2C"/>
    <w:rsid w:val="00F06042"/>
    <w:rsid w:val="00F72939"/>
    <w:rsid w:val="05E55F53"/>
    <w:rsid w:val="0C0F70F9"/>
    <w:rsid w:val="0DB67641"/>
    <w:rsid w:val="0DC23D27"/>
    <w:rsid w:val="10F106A0"/>
    <w:rsid w:val="14067033"/>
    <w:rsid w:val="1BD05A14"/>
    <w:rsid w:val="1D293D92"/>
    <w:rsid w:val="1F2D7B6A"/>
    <w:rsid w:val="205C04A1"/>
    <w:rsid w:val="218835F1"/>
    <w:rsid w:val="21AB6E82"/>
    <w:rsid w:val="23FA0237"/>
    <w:rsid w:val="26396DF4"/>
    <w:rsid w:val="36D14E27"/>
    <w:rsid w:val="379F6CD3"/>
    <w:rsid w:val="39FD4818"/>
    <w:rsid w:val="3C5A3E76"/>
    <w:rsid w:val="3CCC056A"/>
    <w:rsid w:val="3F5605BF"/>
    <w:rsid w:val="42512E91"/>
    <w:rsid w:val="43125214"/>
    <w:rsid w:val="4A031344"/>
    <w:rsid w:val="4B3854E4"/>
    <w:rsid w:val="513E2C91"/>
    <w:rsid w:val="51525238"/>
    <w:rsid w:val="53A022C0"/>
    <w:rsid w:val="5B50630C"/>
    <w:rsid w:val="5D3804E5"/>
    <w:rsid w:val="5FA32F55"/>
    <w:rsid w:val="62201AC5"/>
    <w:rsid w:val="667C62AE"/>
    <w:rsid w:val="67B657F0"/>
    <w:rsid w:val="6B0074AE"/>
    <w:rsid w:val="6BA45BE5"/>
    <w:rsid w:val="6F0A24DB"/>
    <w:rsid w:val="6F7E382D"/>
    <w:rsid w:val="727D6DC5"/>
    <w:rsid w:val="74881FC6"/>
    <w:rsid w:val="765E7605"/>
    <w:rsid w:val="77F51A1C"/>
    <w:rsid w:val="7E8D29AE"/>
    <w:rsid w:val="7EA06B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autoRedefine/>
    <w:qFormat/>
    <w:uiPriority w:val="0"/>
    <w:pPr>
      <w:ind w:left="100" w:leftChars="2500"/>
    </w:pPr>
  </w:style>
  <w:style w:type="paragraph" w:styleId="3">
    <w:name w:val="footer"/>
    <w:basedOn w:val="1"/>
    <w:link w:val="12"/>
    <w:autoRedefine/>
    <w:qFormat/>
    <w:uiPriority w:val="0"/>
    <w:pPr>
      <w:tabs>
        <w:tab w:val="center" w:pos="4153"/>
        <w:tab w:val="right" w:pos="8306"/>
      </w:tabs>
      <w:snapToGrid w:val="0"/>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2|1"/>
    <w:basedOn w:val="1"/>
    <w:autoRedefine/>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8">
    <w:name w:val="Body text|1"/>
    <w:basedOn w:val="1"/>
    <w:autoRedefine/>
    <w:qFormat/>
    <w:uiPriority w:val="0"/>
    <w:pPr>
      <w:spacing w:line="374" w:lineRule="auto"/>
      <w:ind w:firstLine="400"/>
    </w:pPr>
    <w:rPr>
      <w:rFonts w:ascii="宋体" w:hAnsi="宋体" w:eastAsia="宋体" w:cs="宋体"/>
      <w:szCs w:val="32"/>
      <w:lang w:val="zh-TW" w:eastAsia="zh-TW" w:bidi="zh-TW"/>
    </w:rPr>
  </w:style>
  <w:style w:type="paragraph" w:customStyle="1" w:styleId="9">
    <w:name w:val="Body text|3"/>
    <w:basedOn w:val="1"/>
    <w:autoRedefine/>
    <w:qFormat/>
    <w:uiPriority w:val="0"/>
    <w:pPr>
      <w:spacing w:after="540"/>
      <w:ind w:firstLine="800"/>
    </w:pPr>
    <w:rPr>
      <w:color w:val="1F2121"/>
      <w:szCs w:val="32"/>
    </w:rPr>
  </w:style>
  <w:style w:type="paragraph" w:customStyle="1" w:styleId="10">
    <w:name w:val="Other|1"/>
    <w:basedOn w:val="1"/>
    <w:autoRedefine/>
    <w:qFormat/>
    <w:uiPriority w:val="0"/>
    <w:pPr>
      <w:spacing w:line="374" w:lineRule="auto"/>
      <w:ind w:firstLine="400"/>
    </w:pPr>
    <w:rPr>
      <w:rFonts w:ascii="宋体" w:hAnsi="宋体" w:eastAsia="宋体" w:cs="宋体"/>
      <w:szCs w:val="32"/>
      <w:lang w:val="zh-TW" w:eastAsia="zh-TW" w:bidi="zh-TW"/>
    </w:rPr>
  </w:style>
  <w:style w:type="character" w:customStyle="1" w:styleId="11">
    <w:name w:val="页眉 Char"/>
    <w:basedOn w:val="6"/>
    <w:link w:val="4"/>
    <w:autoRedefine/>
    <w:qFormat/>
    <w:uiPriority w:val="0"/>
    <w:rPr>
      <w:rFonts w:eastAsia="Times New Roman"/>
      <w:color w:val="000000"/>
      <w:sz w:val="18"/>
      <w:szCs w:val="18"/>
      <w:lang w:eastAsia="en-US" w:bidi="en-US"/>
    </w:rPr>
  </w:style>
  <w:style w:type="character" w:customStyle="1" w:styleId="12">
    <w:name w:val="页脚 Char"/>
    <w:basedOn w:val="6"/>
    <w:link w:val="3"/>
    <w:autoRedefine/>
    <w:qFormat/>
    <w:uiPriority w:val="0"/>
    <w:rPr>
      <w:rFonts w:eastAsia="Times New Roman"/>
      <w:color w:val="000000"/>
      <w:sz w:val="18"/>
      <w:szCs w:val="18"/>
      <w:lang w:eastAsia="en-US" w:bidi="en-US"/>
    </w:rPr>
  </w:style>
  <w:style w:type="character" w:customStyle="1" w:styleId="13">
    <w:name w:val="日期 Char"/>
    <w:basedOn w:val="6"/>
    <w:link w:val="2"/>
    <w:autoRedefine/>
    <w:qFormat/>
    <w:uiPriority w:val="0"/>
    <w:rPr>
      <w:rFonts w:eastAsia="Times New Roman"/>
      <w:color w:val="000000"/>
      <w:sz w:val="32"/>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Words>
  <Characters>756</Characters>
  <Lines>6</Lines>
  <Paragraphs>1</Paragraphs>
  <TotalTime>26</TotalTime>
  <ScaleCrop>false</ScaleCrop>
  <LinksUpToDate>false</LinksUpToDate>
  <CharactersWithSpaces>887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2023-07-05T11:07:00Z</dcterms:created>
  <dc:creator>祥子</dc:creator>
  <cp:lastModifiedBy>胖胖是只布偶猫</cp:lastModifiedBy>
  <dcterms:modified xsi:type="dcterms:W3CDTF">2023-12-19T07:49:57Z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43E4D20606714D0DA261FC322DD027DA_13</vt:lpwstr>
  </property>
</Properties>
</file>